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Аналитическая платформа SAS. Обзор технологий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Язык программирования SAS/BASE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Основы программирования на SAS/BASE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Макросы, SQ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Библиотека методов стат. Анализа SAS/STAT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Введение в SAS/STAT, дисперсионный анализ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Линейная регрессия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Логистическая регрессия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Обобщенные линейные модели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Кластеризация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бзор современных возможностей SA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 Введение в Text Mining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 Некоторые современные модели анализа данных в SA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